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lplab9q098zm" w:id="0"/>
      <w:bookmarkEnd w:id="0"/>
      <w:r w:rsidDel="00000000" w:rsidR="00000000" w:rsidRPr="00000000">
        <w:rPr>
          <w:rtl w:val="0"/>
        </w:rPr>
        <w:t xml:space="preserve">Final Exam Review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Chapter 1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On-demand business models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Company’s strategic direction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Digitalization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Top Ten IT Management Priorities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Components of a Business Process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Business Process Reengineering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Cloud Computing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Chapter 2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Components of Information Systems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Four different types of Information Systems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Online Transaction Processing (OLTP)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Definition of IT Infrastructure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Enterprise Architecture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Chapter 3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Data Mart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Functions performed by a database management system (DBMS)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Characteristics of missing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Data Warehouse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Enterprise Data Warehouse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Electronic Records Management (ERM) system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Chapter 4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Network protocols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Packet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VPN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Intranet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Internet of Things (IoT)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Chapter 5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Data Incident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Black Hat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Spyware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Ransomware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Cyberattacks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Authentication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Access Control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Chapter 6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Different Types of Search Engines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Page Repository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Enterprise Search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Search Engine Marketing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Search Engine Optimization (SEO)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On-Page and Off-Page elements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Chapter 7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Web 1.0 as opposed to Web 2.0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User-Controlled Content and Author Controlled Content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Chapter 8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Mobile location-based marketing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Standard Operating Procedures (SOPs)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Just-In-Time inventory management (JIT)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Chapter 9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Fraud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Chapter 10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ERP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SCM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CRM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Legacy System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Chapter 11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Digital Dashboards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Chapter 12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Porter’s Competitive Forces Model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Outsources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Stages and Phases of Outsourcing the life cycle.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Waterfall Model of SDLC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Chapter 14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Mobile App Risky Behavior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